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9923" w:type="dxa"/>
        <w:jc w:val="center"/>
        <w:tblLook w:val="01E0" w:firstRow="1" w:lastRow="1" w:firstColumn="1" w:lastColumn="1" w:noHBand="0" w:noVBand="0"/>
      </w:tblPr>
      <w:tblGrid>
        <w:gridCol w:w="5103"/>
        <w:gridCol w:w="4820"/>
      </w:tblGrid>
      <w:tr w:rsidR="00C72132" w:rsidRPr="00450C44" w:rsidTr="00BD7016">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4820"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BD7016">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4820"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BD7016">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4820" w:type="dxa"/>
          </w:tcPr>
          <w:p w:rsidR="00C72132" w:rsidRPr="00450C44" w:rsidRDefault="00C72132" w:rsidP="00BD7016">
            <w:pPr>
              <w:spacing w:before="120"/>
              <w:jc w:val="right"/>
              <w:rPr>
                <w:rFonts w:eastAsia="Times New Roman"/>
                <w:szCs w:val="24"/>
                <w:lang w:eastAsia="ru-RU"/>
              </w:rPr>
            </w:pPr>
            <w:r w:rsidRPr="00450C44">
              <w:rPr>
                <w:rFonts w:eastAsia="Times New Roman"/>
                <w:szCs w:val="24"/>
                <w:lang w:eastAsia="ru-RU"/>
              </w:rPr>
              <w:t>Протокол  № ___</w:t>
            </w:r>
            <w:r w:rsidR="00BD7016">
              <w:rPr>
                <w:rFonts w:eastAsia="Times New Roman"/>
                <w:szCs w:val="24"/>
                <w:lang w:eastAsia="ru-RU"/>
              </w:rPr>
              <w:t>149</w:t>
            </w:r>
            <w:r w:rsidRPr="00450C44">
              <w:rPr>
                <w:rFonts w:eastAsia="Times New Roman"/>
                <w:szCs w:val="24"/>
                <w:lang w:eastAsia="ru-RU"/>
              </w:rPr>
              <w:t>________</w:t>
            </w:r>
          </w:p>
        </w:tc>
      </w:tr>
      <w:tr w:rsidR="00C72132" w:rsidRPr="00450C44" w:rsidTr="00BD7016">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4820" w:type="dxa"/>
          </w:tcPr>
          <w:p w:rsidR="00C72132" w:rsidRPr="00BD7016" w:rsidRDefault="00C72132" w:rsidP="00BD7016">
            <w:pPr>
              <w:spacing w:before="120"/>
              <w:jc w:val="right"/>
              <w:rPr>
                <w:rFonts w:eastAsia="Times New Roman"/>
                <w:szCs w:val="24"/>
                <w:u w:val="single"/>
                <w:lang w:eastAsia="ru-RU"/>
              </w:rPr>
            </w:pPr>
            <w:r w:rsidRPr="00BD7016">
              <w:rPr>
                <w:rFonts w:eastAsia="Times New Roman"/>
                <w:szCs w:val="24"/>
                <w:u w:val="single"/>
                <w:lang w:eastAsia="ru-RU"/>
              </w:rPr>
              <w:t>«_</w:t>
            </w:r>
            <w:r w:rsidR="00BD7016" w:rsidRPr="00BD7016">
              <w:rPr>
                <w:rFonts w:eastAsia="Times New Roman"/>
                <w:szCs w:val="24"/>
                <w:u w:val="single"/>
                <w:lang w:eastAsia="ru-RU"/>
              </w:rPr>
              <w:t>07</w:t>
            </w:r>
            <w:r w:rsidRPr="00BD7016">
              <w:rPr>
                <w:rFonts w:eastAsia="Times New Roman"/>
                <w:szCs w:val="24"/>
                <w:u w:val="single"/>
                <w:lang w:eastAsia="ru-RU"/>
              </w:rPr>
              <w:t>_» ___</w:t>
            </w:r>
            <w:r w:rsidR="00BD7016" w:rsidRPr="00BD7016">
              <w:rPr>
                <w:rFonts w:eastAsia="Times New Roman"/>
                <w:szCs w:val="24"/>
                <w:u w:val="single"/>
                <w:lang w:eastAsia="ru-RU"/>
              </w:rPr>
              <w:t>08</w:t>
            </w:r>
            <w:r w:rsidRPr="00BD7016">
              <w:rPr>
                <w:rFonts w:eastAsia="Times New Roman"/>
                <w:szCs w:val="24"/>
                <w:u w:val="single"/>
                <w:lang w:eastAsia="ru-RU"/>
              </w:rPr>
              <w:t>__  ____</w:t>
            </w:r>
            <w:r w:rsidR="00BD7016" w:rsidRPr="00BD7016">
              <w:rPr>
                <w:rFonts w:eastAsia="Times New Roman"/>
                <w:szCs w:val="24"/>
                <w:u w:val="single"/>
                <w:lang w:eastAsia="ru-RU"/>
              </w:rPr>
              <w:t xml:space="preserve">2019 </w:t>
            </w:r>
            <w:r w:rsidRPr="00BD7016">
              <w:rPr>
                <w:rFonts w:eastAsia="Times New Roman"/>
                <w:szCs w:val="24"/>
                <w:u w:val="single"/>
                <w:lang w:eastAsia="ru-RU"/>
              </w:rPr>
              <w:t>г.</w:t>
            </w:r>
          </w:p>
        </w:tc>
      </w:tr>
    </w:tbl>
    <w:p w:rsidR="00C72132" w:rsidRPr="00D024C5" w:rsidRDefault="00C72132" w:rsidP="00C72132">
      <w:pPr>
        <w:ind w:firstLine="708"/>
        <w:jc w:val="both"/>
      </w:pPr>
      <w:r>
        <w:t>П</w:t>
      </w:r>
      <w:r w:rsidRPr="00D024C5">
        <w:t>ДО № _</w:t>
      </w:r>
      <w:r w:rsidR="00BD7016">
        <w:t>370-СС-2019</w:t>
      </w:r>
      <w:r w:rsidRPr="00D024C5">
        <w:t>_</w:t>
      </w:r>
    </w:p>
    <w:p w:rsidR="00C72132" w:rsidRPr="00D024C5" w:rsidRDefault="00B146B1" w:rsidP="00C72132">
      <w:pPr>
        <w:ind w:firstLine="708"/>
        <w:jc w:val="both"/>
      </w:pPr>
      <w:proofErr w:type="gramStart"/>
      <w:r>
        <w:t>о</w:t>
      </w:r>
      <w:r w:rsidR="00C72132" w:rsidRPr="00D024C5">
        <w:t>т  «</w:t>
      </w:r>
      <w:proofErr w:type="gramEnd"/>
      <w:r w:rsidR="00C72132" w:rsidRPr="00D024C5">
        <w:t>_</w:t>
      </w:r>
      <w:r w:rsidR="00BD7016">
        <w:t>07</w:t>
      </w:r>
      <w:r w:rsidR="00C72132" w:rsidRPr="00D024C5">
        <w:t>_» _</w:t>
      </w:r>
      <w:r w:rsidR="00BD7016">
        <w:t>08</w:t>
      </w:r>
      <w:r w:rsidR="00C72132" w:rsidRPr="00D024C5">
        <w:t>_ 201</w:t>
      </w:r>
      <w:r w:rsidR="00BD7016">
        <w:t xml:space="preserve">9 </w:t>
      </w:r>
      <w:r w:rsidR="00C72132" w:rsidRPr="00D024C5">
        <w:t>г.</w:t>
      </w:r>
    </w:p>
    <w:p w:rsidR="00C72132" w:rsidRPr="00D024C5" w:rsidRDefault="00C72132" w:rsidP="00C72132">
      <w:pPr>
        <w:ind w:firstLine="708"/>
        <w:jc w:val="both"/>
      </w:pPr>
    </w:p>
    <w:p w:rsidR="00C72132" w:rsidRPr="00C660EB" w:rsidRDefault="00E62772" w:rsidP="00C72132">
      <w:pPr>
        <w:ind w:firstLine="708"/>
        <w:jc w:val="both"/>
        <w:rPr>
          <w:sz w:val="20"/>
          <w:szCs w:val="23"/>
        </w:rPr>
      </w:pPr>
      <w:r>
        <w:rPr>
          <w:sz w:val="23"/>
          <w:szCs w:val="23"/>
        </w:rPr>
        <w:t>ПАО</w:t>
      </w:r>
      <w:r w:rsidR="00C72132" w:rsidRPr="00980CDC">
        <w:rPr>
          <w:sz w:val="23"/>
          <w:szCs w:val="23"/>
        </w:rPr>
        <w:t xml:space="preserve"> «</w:t>
      </w:r>
      <w:proofErr w:type="spellStart"/>
      <w:r w:rsidR="00C72132" w:rsidRPr="00980CDC">
        <w:rPr>
          <w:sz w:val="23"/>
          <w:szCs w:val="23"/>
        </w:rPr>
        <w:t>Славнефть</w:t>
      </w:r>
      <w:proofErr w:type="spellEnd"/>
      <w:r w:rsidR="00C72132" w:rsidRPr="00980CDC">
        <w:rPr>
          <w:sz w:val="23"/>
          <w:szCs w:val="23"/>
        </w:rPr>
        <w:t xml:space="preserve">-ЯНОС» (далее – Общество) приглашает вас сделать предложение (оферту) на поставку </w:t>
      </w:r>
      <w:r w:rsidR="00F164A0" w:rsidRPr="00CE4D5D">
        <w:rPr>
          <w:rFonts w:eastAsia="Calibri"/>
          <w:b/>
          <w:szCs w:val="28"/>
        </w:rPr>
        <w:t xml:space="preserve">Реагентов </w:t>
      </w:r>
      <w:r w:rsidR="00791E9A">
        <w:rPr>
          <w:rFonts w:eastAsia="Calibri"/>
          <w:b/>
          <w:szCs w:val="28"/>
        </w:rPr>
        <w:t xml:space="preserve">и адсорбентов </w:t>
      </w:r>
      <w:r w:rsidR="00F164A0" w:rsidRPr="00CE4D5D">
        <w:rPr>
          <w:rFonts w:eastAsia="Calibri"/>
          <w:b/>
          <w:szCs w:val="28"/>
        </w:rPr>
        <w:t xml:space="preserve">для </w:t>
      </w:r>
      <w:r w:rsidR="00F164A0">
        <w:rPr>
          <w:rFonts w:eastAsia="Calibri"/>
          <w:b/>
          <w:szCs w:val="28"/>
        </w:rPr>
        <w:t>цеха №17</w:t>
      </w:r>
      <w:r w:rsidR="004A03AD" w:rsidRPr="00C660EB">
        <w:rPr>
          <w:rFonts w:eastAsia="Calibri"/>
          <w:b/>
          <w:sz w:val="22"/>
          <w:szCs w:val="28"/>
        </w:rPr>
        <w:t>.</w:t>
      </w:r>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контрагента,  предложившего наилучшие условия в соответствии с </w:t>
      </w:r>
      <w:r w:rsidR="00152B97">
        <w:rPr>
          <w:sz w:val="23"/>
          <w:szCs w:val="23"/>
        </w:rPr>
        <w:t>Формой 4</w:t>
      </w:r>
      <w:r w:rsidRPr="00980CDC">
        <w:rPr>
          <w:sz w:val="23"/>
          <w:szCs w:val="23"/>
        </w:rPr>
        <w:t xml:space="preserve">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 xml:space="preserve">Оферта </w:t>
      </w:r>
      <w:r w:rsidR="004A03AD">
        <w:rPr>
          <w:szCs w:val="24"/>
        </w:rPr>
        <w:t>должна</w:t>
      </w:r>
      <w:r w:rsidRPr="007F39EF">
        <w:rPr>
          <w:szCs w:val="24"/>
        </w:rPr>
        <w:t xml:space="preserve"> быть представлена на </w:t>
      </w:r>
      <w:r w:rsidR="004A03AD">
        <w:rPr>
          <w:szCs w:val="24"/>
        </w:rPr>
        <w:t>всю</w:t>
      </w:r>
      <w:r w:rsidRPr="007F39EF">
        <w:rPr>
          <w:szCs w:val="24"/>
        </w:rPr>
        <w:t xml:space="preserve"> номенклатур</w:t>
      </w:r>
      <w:r w:rsidR="004A03AD">
        <w:rPr>
          <w:szCs w:val="24"/>
        </w:rPr>
        <w:t>у</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004A03AD">
        <w:rPr>
          <w:b/>
          <w:szCs w:val="24"/>
        </w:rPr>
        <w:t>Лот</w:t>
      </w:r>
      <w:r w:rsidR="00C400BF">
        <w:rPr>
          <w:b/>
          <w:szCs w:val="24"/>
        </w:rPr>
        <w:t>ы</w:t>
      </w:r>
      <w:r>
        <w:rPr>
          <w:szCs w:val="24"/>
        </w:rPr>
        <w:t xml:space="preserve"> </w:t>
      </w:r>
      <w:r w:rsidRPr="007F39EF">
        <w:rPr>
          <w:szCs w:val="24"/>
        </w:rPr>
        <w:t>указан</w:t>
      </w:r>
      <w:r w:rsidR="00C400BF">
        <w:rPr>
          <w:szCs w:val="24"/>
        </w:rPr>
        <w:t>ы</w:t>
      </w:r>
      <w:r w:rsidRPr="007F39EF">
        <w:rPr>
          <w:szCs w:val="24"/>
        </w:rPr>
        <w:t xml:space="preserve"> в </w:t>
      </w:r>
      <w:r w:rsidR="00152B97">
        <w:rPr>
          <w:szCs w:val="24"/>
        </w:rPr>
        <w:t>Требованиях к предмету оферты</w:t>
      </w:r>
      <w:r>
        <w:rPr>
          <w:szCs w:val="24"/>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152B97" w:rsidP="00C72132">
      <w:pPr>
        <w:ind w:firstLine="708"/>
        <w:jc w:val="both"/>
        <w:rPr>
          <w:sz w:val="23"/>
          <w:szCs w:val="23"/>
        </w:rPr>
      </w:pPr>
      <w:r w:rsidRPr="00455CB1">
        <w:t>Общество оставляет за собой право изменять общее количество поставляемого товара в пределах согласованного в договоре опциона</w:t>
      </w:r>
      <w:r w:rsidR="00C72132" w:rsidRPr="00980CDC">
        <w:rPr>
          <w:sz w:val="23"/>
          <w:szCs w:val="23"/>
        </w:rPr>
        <w:t>.</w:t>
      </w:r>
    </w:p>
    <w:p w:rsidR="00C72132"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152B97" w:rsidRDefault="00152B97" w:rsidP="00C72132">
      <w:pPr>
        <w:ind w:firstLine="709"/>
        <w:jc w:val="both"/>
      </w:pPr>
      <w:r w:rsidRPr="00455CB1">
        <w:t>Подача одним участником закупки альтернативных оферт не допускается</w:t>
      </w:r>
      <w:r>
        <w:t>.</w:t>
      </w:r>
    </w:p>
    <w:p w:rsidR="000E74E3" w:rsidRPr="006D5D5A" w:rsidRDefault="000E74E3" w:rsidP="000E74E3">
      <w:pPr>
        <w:ind w:firstLine="708"/>
        <w:contextualSpacing/>
        <w:jc w:val="both"/>
        <w:rPr>
          <w:szCs w:val="24"/>
        </w:rPr>
      </w:pPr>
      <w:r w:rsidRPr="006D5D5A">
        <w:rPr>
          <w:color w:val="000000"/>
          <w:szCs w:val="24"/>
        </w:rPr>
        <w:t>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r w:rsidRPr="006D5D5A">
        <w:rPr>
          <w:szCs w:val="24"/>
        </w:rPr>
        <w:t xml:space="preserve"> </w:t>
      </w:r>
    </w:p>
    <w:p w:rsidR="000E74E3" w:rsidRPr="006D5D5A" w:rsidRDefault="000E74E3" w:rsidP="000E74E3">
      <w:pPr>
        <w:ind w:firstLine="708"/>
        <w:jc w:val="both"/>
        <w:rPr>
          <w:color w:val="000000"/>
          <w:szCs w:val="24"/>
        </w:rPr>
      </w:pPr>
      <w:r w:rsidRPr="006D5D5A">
        <w:rPr>
          <w:color w:val="000000"/>
          <w:szCs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Протокол разногласий, полученный от участника закупки в составе коммерческой/улучшенной коммерческой части, Обществом к рассмотрению не принимается. В случае наличия протокола разногласий он должен находиться в составе технической части оферты.</w:t>
      </w:r>
    </w:p>
    <w:p w:rsidR="000E74E3" w:rsidRPr="006D5D5A" w:rsidRDefault="000E74E3" w:rsidP="000E74E3">
      <w:pPr>
        <w:ind w:firstLine="567"/>
        <w:jc w:val="both"/>
        <w:rPr>
          <w:szCs w:val="24"/>
        </w:rPr>
      </w:pPr>
      <w:r w:rsidRPr="006D5D5A">
        <w:rPr>
          <w:szCs w:val="24"/>
        </w:rPr>
        <w:t>В случае полного или частичного отзыва, или ухудшения безотзывной оферты участник обязуется, безусловно и безоговорочно, не позднее пяти календарных дней после отзыва или ухудшения безотзывной оферты, уплатить ПАО «</w:t>
      </w:r>
      <w:proofErr w:type="spellStart"/>
      <w:r w:rsidRPr="006D5D5A">
        <w:rPr>
          <w:szCs w:val="24"/>
        </w:rPr>
        <w:t>Славнефть</w:t>
      </w:r>
      <w:proofErr w:type="spellEnd"/>
      <w:r w:rsidRPr="006D5D5A">
        <w:rPr>
          <w:szCs w:val="24"/>
        </w:rPr>
        <w:t>-ЯНОС» штрафную неустойку в размере 5% от суммы Оферты.</w:t>
      </w:r>
    </w:p>
    <w:p w:rsidR="000E74E3" w:rsidRPr="006D5D5A" w:rsidRDefault="000E74E3" w:rsidP="000E74E3">
      <w:pPr>
        <w:ind w:firstLine="567"/>
        <w:jc w:val="both"/>
        <w:rPr>
          <w:szCs w:val="24"/>
        </w:rPr>
      </w:pPr>
      <w:r w:rsidRPr="006D5D5A">
        <w:rPr>
          <w:szCs w:val="24"/>
        </w:rPr>
        <w:t xml:space="preserve"> При несвоевременной или неполной уплате штрафной неустойки ПАО «</w:t>
      </w:r>
      <w:proofErr w:type="spellStart"/>
      <w:r w:rsidRPr="006D5D5A">
        <w:rPr>
          <w:szCs w:val="24"/>
        </w:rPr>
        <w:t>Славнефть</w:t>
      </w:r>
      <w:proofErr w:type="spellEnd"/>
      <w:r w:rsidRPr="006D5D5A">
        <w:rPr>
          <w:szCs w:val="24"/>
        </w:rPr>
        <w:t>-ЯНОС» вправе начислить, а участник обязуется уплатить пени в размере 0,5% от несвоевременно уплаченной суммы до момента полного погашения.</w:t>
      </w:r>
    </w:p>
    <w:p w:rsidR="000E74E3" w:rsidRPr="006D5D5A" w:rsidRDefault="000E74E3" w:rsidP="000E74E3">
      <w:pPr>
        <w:ind w:firstLine="567"/>
        <w:jc w:val="both"/>
        <w:rPr>
          <w:szCs w:val="24"/>
        </w:rPr>
      </w:pPr>
      <w:r w:rsidRPr="006D5D5A">
        <w:rPr>
          <w:szCs w:val="24"/>
        </w:rPr>
        <w:t xml:space="preserve"> В случае принятия оферты, участник обязуется заключить с ПАО «</w:t>
      </w:r>
      <w:proofErr w:type="spellStart"/>
      <w:r w:rsidRPr="006D5D5A">
        <w:rPr>
          <w:szCs w:val="24"/>
        </w:rPr>
        <w:t>Славнефть</w:t>
      </w:r>
      <w:proofErr w:type="spellEnd"/>
      <w:r w:rsidRPr="006D5D5A">
        <w:rPr>
          <w:szCs w:val="24"/>
        </w:rPr>
        <w:t xml:space="preserve">-ЯНОС» договор поставки, на условиях указанного предложения делать оферты, не позднее 20 (Двадцати) календарных дней с момента уведомления о принятии его оферты. </w:t>
      </w:r>
    </w:p>
    <w:p w:rsidR="00C72132" w:rsidRPr="000E74E3" w:rsidRDefault="000E74E3" w:rsidP="000E74E3">
      <w:pPr>
        <w:ind w:firstLine="567"/>
        <w:jc w:val="both"/>
        <w:rPr>
          <w:szCs w:val="24"/>
        </w:rPr>
      </w:pPr>
      <w:r w:rsidRPr="006D5D5A">
        <w:rPr>
          <w:szCs w:val="24"/>
        </w:rPr>
        <w:t xml:space="preserve"> Если по каким-либо причинам участник откажется (уклонится) от подписания договора на предложенных им в оферте условиях после получения уведомления об акцепте оферты со стороны ПАО «</w:t>
      </w:r>
      <w:proofErr w:type="spellStart"/>
      <w:r w:rsidRPr="006D5D5A">
        <w:rPr>
          <w:szCs w:val="24"/>
        </w:rPr>
        <w:t>Славнефть</w:t>
      </w:r>
      <w:proofErr w:type="spellEnd"/>
      <w:r w:rsidRPr="006D5D5A">
        <w:rPr>
          <w:szCs w:val="24"/>
        </w:rPr>
        <w:t xml:space="preserve">-ЯНОС», он обязуется безусловно и безоговорочно, не позднее пяти календарных дней после истечения срока, установленного для подписания договора (или дня </w:t>
      </w:r>
      <w:r w:rsidRPr="006D5D5A">
        <w:rPr>
          <w:szCs w:val="24"/>
        </w:rPr>
        <w:lastRenderedPageBreak/>
        <w:t>отказа), уплатить Обществу штрафную неустойку в размере 10% от суммы акцептованной Оферты. При несвоевременной или неполной уплате штрафной неустойки, ПАО «</w:t>
      </w:r>
      <w:proofErr w:type="spellStart"/>
      <w:r w:rsidRPr="006D5D5A">
        <w:rPr>
          <w:szCs w:val="24"/>
        </w:rPr>
        <w:t>Славнефть</w:t>
      </w:r>
      <w:proofErr w:type="spellEnd"/>
      <w:r w:rsidRPr="006D5D5A">
        <w:rPr>
          <w:szCs w:val="24"/>
        </w:rPr>
        <w:t>-ЯНОС» вправе начислить, а участник обязан уплатить пени, в размере 0,5% от несвоевременно уплаченной суммы, до момента полного погашения.</w:t>
      </w:r>
      <w:r w:rsidR="00C72132" w:rsidRPr="00980CDC">
        <w:rPr>
          <w:b/>
          <w:sz w:val="23"/>
          <w:szCs w:val="23"/>
        </w:rPr>
        <w:t xml:space="preserve">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0E23E8"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0E23E8" w:rsidRPr="000E23E8">
        <w:t>31</w:t>
      </w:r>
      <w:r w:rsidR="000E23E8">
        <w:t>.10.2019</w:t>
      </w:r>
    </w:p>
    <w:p w:rsidR="00C72132" w:rsidRPr="00D024C5" w:rsidRDefault="00C72132" w:rsidP="000E23E8">
      <w:pPr>
        <w:jc w:val="both"/>
      </w:pP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A2342F" w:rsidRDefault="00A2342F" w:rsidP="00A2342F">
      <w:pPr>
        <w:tabs>
          <w:tab w:val="left" w:pos="1418"/>
        </w:tabs>
        <w:contextualSpacing/>
        <w:jc w:val="both"/>
      </w:pPr>
      <w:r w:rsidRPr="00455CB1">
        <w:t>- Форма 4 для технической части, подписанная уполномоченным лицом и заверенная печатью участника закупки);</w:t>
      </w:r>
    </w:p>
    <w:p w:rsidR="00A2342F" w:rsidRPr="00A2342F" w:rsidRDefault="00A2342F" w:rsidP="00A2342F">
      <w:pPr>
        <w:tabs>
          <w:tab w:val="left" w:pos="1418"/>
        </w:tabs>
        <w:contextualSpacing/>
        <w:jc w:val="both"/>
      </w:pPr>
      <w:r>
        <w:t>- Формы 6,7</w:t>
      </w:r>
      <w:r w:rsidRPr="00A2342F">
        <w:t>;</w:t>
      </w:r>
    </w:p>
    <w:p w:rsidR="00A2342F" w:rsidRPr="00455CB1" w:rsidRDefault="00A2342F" w:rsidP="00A2342F">
      <w:pPr>
        <w:tabs>
          <w:tab w:val="left" w:pos="1418"/>
        </w:tabs>
        <w:contextualSpacing/>
        <w:jc w:val="both"/>
      </w:pPr>
      <w:r w:rsidRPr="00455CB1">
        <w:t>- Подписанный проект договора без указания информации о стоимости</w:t>
      </w:r>
      <w:r>
        <w:t>;</w:t>
      </w:r>
      <w:r w:rsidRPr="00455CB1">
        <w:t xml:space="preserve"> </w:t>
      </w:r>
    </w:p>
    <w:p w:rsidR="00A2342F" w:rsidRPr="00455CB1" w:rsidRDefault="00A2342F" w:rsidP="00A2342F">
      <w:pPr>
        <w:tabs>
          <w:tab w:val="left" w:pos="1418"/>
        </w:tabs>
        <w:contextualSpacing/>
        <w:jc w:val="both"/>
      </w:pPr>
      <w:r w:rsidRPr="00455CB1">
        <w:t>- Техническое предложение;</w:t>
      </w:r>
    </w:p>
    <w:p w:rsidR="00A2342F" w:rsidRPr="00455CB1" w:rsidRDefault="00A2342F" w:rsidP="00A2342F">
      <w:pPr>
        <w:tabs>
          <w:tab w:val="left" w:pos="1418"/>
        </w:tabs>
        <w:contextualSpacing/>
        <w:jc w:val="both"/>
      </w:pPr>
      <w:r w:rsidRPr="00455CB1">
        <w:t xml:space="preserve">- Перечень аффилированных организаций (форма 5, подписанная уполномоченным лицом </w:t>
      </w:r>
      <w:r w:rsidR="00834D22">
        <w:t xml:space="preserve"> </w:t>
      </w:r>
      <w:r w:rsidRPr="00455CB1">
        <w:t>и заверенная печатью участника закупки);</w:t>
      </w:r>
    </w:p>
    <w:p w:rsidR="00A2342F" w:rsidRPr="00A2342F" w:rsidRDefault="00A2342F" w:rsidP="00A2342F">
      <w:pPr>
        <w:tabs>
          <w:tab w:val="left" w:pos="1418"/>
        </w:tabs>
        <w:contextualSpacing/>
        <w:jc w:val="both"/>
        <w:rPr>
          <w:color w:val="000000" w:themeColor="text1"/>
        </w:rPr>
      </w:pPr>
      <w:r w:rsidRPr="00A2342F">
        <w:rPr>
          <w:color w:val="000000" w:themeColor="text1"/>
        </w:rPr>
        <w:t>- Подтверждающие документы в соответствии с требованиями Формы 2;</w:t>
      </w:r>
    </w:p>
    <w:p w:rsidR="00A2342F" w:rsidRPr="00455CB1" w:rsidRDefault="00A2342F" w:rsidP="00A2342F">
      <w:pPr>
        <w:tabs>
          <w:tab w:val="left" w:pos="1418"/>
        </w:tabs>
        <w:contextualSpacing/>
        <w:jc w:val="both"/>
      </w:pPr>
      <w:r w:rsidRPr="00455CB1">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2342F" w:rsidRPr="00455CB1" w:rsidRDefault="00A2342F" w:rsidP="00A2342F">
      <w:pPr>
        <w:tabs>
          <w:tab w:val="left" w:pos="1418"/>
        </w:tabs>
        <w:contextualSpacing/>
        <w:jc w:val="both"/>
      </w:pPr>
      <w:r w:rsidRPr="00455CB1">
        <w:lastRenderedPageBreak/>
        <w:t>- Опись документов технической части оферты (подписанная уполномоченным лицом и заверенная печатью участника закупки);</w:t>
      </w:r>
    </w:p>
    <w:p w:rsidR="00A2342F" w:rsidRDefault="00A2342F" w:rsidP="00C72132">
      <w:pPr>
        <w:jc w:val="both"/>
        <w:rPr>
          <w:sz w:val="28"/>
          <w:szCs w:val="28"/>
          <w:u w:val="single"/>
        </w:rPr>
      </w:pPr>
    </w:p>
    <w:p w:rsidR="00C72132" w:rsidRPr="000A137A" w:rsidRDefault="00C72132" w:rsidP="00C72132">
      <w:pPr>
        <w:jc w:val="both"/>
        <w:rPr>
          <w:sz w:val="28"/>
          <w:szCs w:val="28"/>
          <w:u w:val="single"/>
        </w:rPr>
      </w:pPr>
      <w:r w:rsidRPr="000A137A">
        <w:rPr>
          <w:sz w:val="28"/>
          <w:szCs w:val="28"/>
          <w:u w:val="single"/>
        </w:rPr>
        <w:t>Коммерческая часть:</w:t>
      </w:r>
    </w:p>
    <w:p w:rsidR="00A2342F" w:rsidRPr="00455CB1" w:rsidRDefault="00A2342F" w:rsidP="00A2342F">
      <w:pPr>
        <w:tabs>
          <w:tab w:val="left" w:pos="1418"/>
        </w:tabs>
        <w:contextualSpacing/>
        <w:jc w:val="both"/>
      </w:pPr>
      <w:r w:rsidRPr="00455CB1">
        <w:t>- Форма 4 для коммерческой части, подписанная уполномоченным лицом и заверенная печатью участника закупки);</w:t>
      </w:r>
    </w:p>
    <w:p w:rsidR="00A2342F" w:rsidRPr="00455CB1" w:rsidRDefault="00A2342F" w:rsidP="00A2342F">
      <w:pPr>
        <w:tabs>
          <w:tab w:val="left" w:pos="1418"/>
        </w:tabs>
        <w:contextualSpacing/>
        <w:jc w:val="both"/>
      </w:pPr>
      <w:r w:rsidRPr="00455CB1">
        <w:t>- Подписанный проект договора</w:t>
      </w:r>
      <w:r>
        <w:t>;</w:t>
      </w:r>
    </w:p>
    <w:p w:rsidR="00C72132" w:rsidRPr="00D024C5" w:rsidRDefault="00A2342F" w:rsidP="00A2342F">
      <w:pPr>
        <w:jc w:val="both"/>
      </w:pPr>
      <w:r w:rsidRPr="00455CB1">
        <w:t>- 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w:t>
      </w:r>
      <w:r w:rsidR="00FE5135">
        <w:rPr>
          <w:rFonts w:eastAsia="Times New Roman" w:cs="Arial"/>
          <w:lang w:eastAsia="ru-RU"/>
        </w:rPr>
        <w:t xml:space="preserve">документов </w:t>
      </w:r>
      <w:r w:rsidRPr="000A137A">
        <w:rPr>
          <w:rFonts w:eastAsia="Times New Roman" w:cs="Arial"/>
          <w:lang w:eastAsia="ru-RU"/>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00F90"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w:t>
      </w:r>
      <w:r w:rsidR="00FE5135">
        <w:rPr>
          <w:rFonts w:eastAsia="Times New Roman" w:cs="Arial"/>
          <w:lang w:eastAsia="ru-RU"/>
        </w:rPr>
        <w:t xml:space="preserve">и (в формате MS </w:t>
      </w:r>
      <w:proofErr w:type="spellStart"/>
      <w:r w:rsidR="00FE5135">
        <w:rPr>
          <w:rFonts w:eastAsia="Times New Roman" w:cs="Arial"/>
          <w:lang w:eastAsia="ru-RU"/>
        </w:rPr>
        <w:t>Excel</w:t>
      </w:r>
      <w:proofErr w:type="spellEnd"/>
      <w:r w:rsidR="00FE5135">
        <w:rPr>
          <w:rFonts w:eastAsia="Times New Roman" w:cs="Arial"/>
          <w:lang w:eastAsia="ru-RU"/>
        </w:rPr>
        <w:t xml:space="preserve">, MS </w:t>
      </w:r>
      <w:proofErr w:type="spellStart"/>
      <w:r w:rsidR="00FE5135">
        <w:rPr>
          <w:rFonts w:eastAsia="Times New Roman" w:cs="Arial"/>
          <w:lang w:eastAsia="ru-RU"/>
        </w:rPr>
        <w:t>Word</w:t>
      </w:r>
      <w:proofErr w:type="spellEnd"/>
      <w:r w:rsidR="00FE5135">
        <w:rPr>
          <w:rFonts w:eastAsia="Times New Roman" w:cs="Arial"/>
          <w:lang w:eastAsia="ru-RU"/>
        </w:rPr>
        <w:t>).</w:t>
      </w:r>
    </w:p>
    <w:p w:rsidR="00C72132" w:rsidRDefault="00C72132" w:rsidP="00C72132">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9F7CC7" w:rsidRPr="00290B80" w:rsidRDefault="009F7CC7" w:rsidP="00C72132">
      <w:pPr>
        <w:ind w:firstLine="720"/>
        <w:jc w:val="both"/>
        <w:rPr>
          <w:rFonts w:eastAsia="Times New Roman"/>
          <w:szCs w:val="24"/>
          <w:lang w:eastAsia="ru-RU"/>
        </w:rPr>
      </w:pPr>
      <w:r w:rsidRPr="00455CB1">
        <w:lastRenderedPageBreak/>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Необходимо также предоставить редактируемые версии (в формате </w:t>
      </w:r>
      <w:r w:rsidRPr="00455CB1">
        <w:rPr>
          <w:b/>
        </w:rPr>
        <w:t xml:space="preserve">MS </w:t>
      </w:r>
      <w:proofErr w:type="spellStart"/>
      <w:r w:rsidRPr="00455CB1">
        <w:rPr>
          <w:b/>
        </w:rPr>
        <w:t>Excel</w:t>
      </w:r>
      <w:proofErr w:type="spellEnd"/>
      <w:r w:rsidRPr="00455CB1">
        <w:rPr>
          <w:b/>
        </w:rPr>
        <w:t xml:space="preserve">, MS </w:t>
      </w:r>
      <w:proofErr w:type="spellStart"/>
      <w:r w:rsidRPr="00455CB1">
        <w:rPr>
          <w:b/>
        </w:rPr>
        <w:t>Word</w:t>
      </w:r>
      <w:proofErr w:type="spellEnd"/>
      <w:r>
        <w:t>) заполненных Форм,</w:t>
      </w:r>
      <w:r w:rsidRPr="00455CB1">
        <w:t xml:space="preserve"> Договора с приложением.</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«_</w:t>
      </w:r>
      <w:r w:rsidR="00BD7016">
        <w:rPr>
          <w:rFonts w:eastAsia="Times New Roman"/>
          <w:b/>
          <w:szCs w:val="24"/>
          <w:lang w:eastAsia="ru-RU"/>
        </w:rPr>
        <w:t>08</w:t>
      </w:r>
      <w:r w:rsidRPr="00290B80">
        <w:rPr>
          <w:rFonts w:eastAsia="Times New Roman"/>
          <w:b/>
          <w:szCs w:val="24"/>
          <w:lang w:eastAsia="ru-RU"/>
        </w:rPr>
        <w:t>_» __</w:t>
      </w:r>
      <w:r w:rsidR="00BD7016">
        <w:rPr>
          <w:rFonts w:eastAsia="Times New Roman"/>
          <w:b/>
          <w:szCs w:val="24"/>
          <w:lang w:eastAsia="ru-RU"/>
        </w:rPr>
        <w:t>08</w:t>
      </w:r>
      <w:r w:rsidRPr="00290B80">
        <w:rPr>
          <w:rFonts w:eastAsia="Times New Roman"/>
          <w:b/>
          <w:szCs w:val="24"/>
          <w:lang w:eastAsia="ru-RU"/>
        </w:rPr>
        <w:t>_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BD7016">
        <w:rPr>
          <w:rFonts w:eastAsia="Times New Roman"/>
          <w:b/>
          <w:szCs w:val="24"/>
          <w:lang w:eastAsia="ru-RU"/>
        </w:rPr>
        <w:t>16:00 (</w:t>
      </w:r>
      <w:proofErr w:type="spellStart"/>
      <w:proofErr w:type="gramStart"/>
      <w:r w:rsidR="00BD7016">
        <w:rPr>
          <w:rFonts w:eastAsia="Times New Roman"/>
          <w:b/>
          <w:szCs w:val="24"/>
          <w:lang w:eastAsia="ru-RU"/>
        </w:rPr>
        <w:t>мск</w:t>
      </w:r>
      <w:proofErr w:type="spellEnd"/>
      <w:r w:rsidR="00BD7016">
        <w:rPr>
          <w:rFonts w:eastAsia="Times New Roman"/>
          <w:b/>
          <w:szCs w:val="24"/>
          <w:lang w:eastAsia="ru-RU"/>
        </w:rPr>
        <w:t xml:space="preserve">) </w:t>
      </w:r>
      <w:r w:rsidRPr="00290B80">
        <w:rPr>
          <w:rFonts w:eastAsia="Times New Roman"/>
          <w:b/>
          <w:szCs w:val="24"/>
          <w:lang w:eastAsia="ru-RU"/>
        </w:rPr>
        <w:t xml:space="preserve"> «</w:t>
      </w:r>
      <w:proofErr w:type="gramEnd"/>
      <w:r w:rsidRPr="00290B80">
        <w:rPr>
          <w:rFonts w:eastAsia="Times New Roman"/>
          <w:b/>
          <w:szCs w:val="24"/>
          <w:lang w:eastAsia="ru-RU"/>
        </w:rPr>
        <w:t>_</w:t>
      </w:r>
      <w:r w:rsidR="00BD7016">
        <w:rPr>
          <w:rFonts w:eastAsia="Times New Roman"/>
          <w:b/>
          <w:szCs w:val="24"/>
          <w:lang w:eastAsia="ru-RU"/>
        </w:rPr>
        <w:t>29_» _08</w:t>
      </w:r>
      <w:r w:rsidRPr="00290B80">
        <w:rPr>
          <w:rFonts w:eastAsia="Times New Roman"/>
          <w:b/>
          <w:szCs w:val="24"/>
          <w:lang w:eastAsia="ru-RU"/>
        </w:rPr>
        <w:t>_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Pr>
          <w:rFonts w:eastAsia="Times New Roman"/>
          <w:b/>
          <w:szCs w:val="24"/>
          <w:lang w:eastAsia="ru-RU"/>
        </w:rPr>
        <w:t xml:space="preserve"> 3</w:t>
      </w:r>
      <w:r w:rsidR="000266B1">
        <w:rPr>
          <w:rFonts w:eastAsia="Times New Roman"/>
          <w:b/>
          <w:szCs w:val="24"/>
          <w:lang w:eastAsia="ru-RU"/>
        </w:rPr>
        <w:t>1</w:t>
      </w:r>
      <w:proofErr w:type="gramEnd"/>
      <w:r>
        <w:rPr>
          <w:rFonts w:eastAsia="Times New Roman"/>
          <w:b/>
          <w:szCs w:val="24"/>
          <w:lang w:eastAsia="ru-RU"/>
        </w:rPr>
        <w:t xml:space="preserve"> </w:t>
      </w:r>
      <w:r w:rsidRPr="00290B80">
        <w:rPr>
          <w:rFonts w:eastAsia="Times New Roman"/>
          <w:b/>
          <w:szCs w:val="24"/>
          <w:lang w:eastAsia="ru-RU"/>
        </w:rPr>
        <w:t xml:space="preserve">» </w:t>
      </w:r>
      <w:r w:rsidR="000266B1">
        <w:rPr>
          <w:rFonts w:eastAsia="Times New Roman"/>
          <w:b/>
          <w:szCs w:val="24"/>
          <w:lang w:eastAsia="ru-RU"/>
        </w:rPr>
        <w:t>октября</w:t>
      </w:r>
      <w:r w:rsidRPr="00290B80">
        <w:rPr>
          <w:rFonts w:eastAsia="Times New Roman"/>
          <w:b/>
          <w:szCs w:val="24"/>
          <w:lang w:eastAsia="ru-RU"/>
        </w:rPr>
        <w:t xml:space="preserve"> 201</w:t>
      </w:r>
      <w:r w:rsidR="003F3A32">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Default="00E62772" w:rsidP="00C72132">
      <w:pPr>
        <w:ind w:firstLine="720"/>
        <w:jc w:val="both"/>
        <w:rPr>
          <w:rFonts w:eastAsia="Times New Roman"/>
          <w:szCs w:val="24"/>
          <w:lang w:eastAsia="ru-RU"/>
        </w:rPr>
      </w:pPr>
      <w:r>
        <w:rPr>
          <w:rFonts w:eastAsia="Times New Roman"/>
          <w:szCs w:val="24"/>
          <w:lang w:eastAsia="ru-RU"/>
        </w:rPr>
        <w:t>ПАО</w:t>
      </w:r>
      <w:r w:rsidR="00C72132" w:rsidRPr="00290B80">
        <w:rPr>
          <w:rFonts w:eastAsia="Times New Roman"/>
          <w:szCs w:val="24"/>
          <w:lang w:eastAsia="ru-RU"/>
        </w:rPr>
        <w:t xml:space="preserve"> «</w:t>
      </w:r>
      <w:proofErr w:type="spellStart"/>
      <w:r w:rsidR="00C72132" w:rsidRPr="00290B80">
        <w:rPr>
          <w:rFonts w:eastAsia="Times New Roman"/>
          <w:szCs w:val="24"/>
          <w:lang w:eastAsia="ru-RU"/>
        </w:rPr>
        <w:t>Славнефть</w:t>
      </w:r>
      <w:proofErr w:type="spellEnd"/>
      <w:r w:rsidR="00C72132" w:rsidRPr="00290B80">
        <w:rPr>
          <w:rFonts w:eastAsia="Times New Roman"/>
          <w:szCs w:val="24"/>
          <w:lang w:eastAsia="ru-RU"/>
        </w:rPr>
        <w:t>-ЯНОС» имеет право продлить срок приема оферт.</w:t>
      </w:r>
    </w:p>
    <w:p w:rsidR="00FE5135" w:rsidRDefault="00FE5135" w:rsidP="00C72132">
      <w:pPr>
        <w:ind w:firstLine="720"/>
        <w:jc w:val="both"/>
      </w:pPr>
      <w:r w:rsidRPr="00455CB1">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E5135" w:rsidRDefault="00FE5135" w:rsidP="00C72132">
      <w:pPr>
        <w:ind w:firstLine="720"/>
        <w:jc w:val="both"/>
      </w:pPr>
      <w:r w:rsidRPr="00455CB1">
        <w:t>Общество ответит на Ваши письменные запросы, касающиеся разъяснений настоящего предложения, полученные не позднее «_</w:t>
      </w:r>
      <w:r w:rsidR="00BD7016">
        <w:t>26</w:t>
      </w:r>
      <w:r w:rsidRPr="00455CB1">
        <w:t>_» __</w:t>
      </w:r>
      <w:r w:rsidR="00BD7016">
        <w:t>08</w:t>
      </w:r>
      <w:r w:rsidRPr="00455CB1">
        <w:t xml:space="preserve">__ </w:t>
      </w:r>
      <w:r w:rsidR="00BD7016">
        <w:t>2019</w:t>
      </w:r>
      <w:r w:rsidRPr="00455CB1">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D7016" w:rsidRDefault="00BD7016" w:rsidP="00BD7016">
      <w:pPr>
        <w:ind w:firstLine="709"/>
        <w:jc w:val="both"/>
        <w:rPr>
          <w:szCs w:val="24"/>
          <w:lang w:eastAsia="ru-RU"/>
        </w:rPr>
      </w:pPr>
      <w:r>
        <w:rPr>
          <w:szCs w:val="24"/>
          <w:lang w:eastAsia="ru-RU"/>
        </w:rPr>
        <w:t>По вопросам технического характера обращаться:</w:t>
      </w:r>
    </w:p>
    <w:p w:rsidR="00BD7016" w:rsidRDefault="00BD7016" w:rsidP="00BD7016">
      <w:pPr>
        <w:ind w:firstLine="142"/>
        <w:jc w:val="both"/>
        <w:rPr>
          <w:szCs w:val="24"/>
          <w:lang w:eastAsia="ru-RU"/>
        </w:rPr>
      </w:pPr>
      <w:r>
        <w:rPr>
          <w:szCs w:val="24"/>
          <w:lang w:eastAsia="ru-RU"/>
        </w:rPr>
        <w:t>Начальник            Румянцев О.А.        (4852)49-94-02    RumyantcevOA@yanos.slavneft.ru</w:t>
      </w:r>
    </w:p>
    <w:p w:rsidR="00BD7016" w:rsidRDefault="00BD7016" w:rsidP="00BD7016">
      <w:pPr>
        <w:ind w:firstLine="142"/>
        <w:jc w:val="both"/>
        <w:rPr>
          <w:szCs w:val="24"/>
          <w:lang w:eastAsia="ru-RU"/>
        </w:rPr>
      </w:pPr>
      <w:r>
        <w:rPr>
          <w:szCs w:val="24"/>
          <w:lang w:eastAsia="ru-RU"/>
        </w:rPr>
        <w:t>отдела</w:t>
      </w:r>
    </w:p>
    <w:p w:rsidR="00BD7016" w:rsidRDefault="00BD7016" w:rsidP="00BD7016">
      <w:pPr>
        <w:ind w:firstLine="142"/>
        <w:jc w:val="both"/>
        <w:rPr>
          <w:szCs w:val="24"/>
          <w:lang w:eastAsia="ru-RU"/>
        </w:rPr>
      </w:pPr>
      <w:r>
        <w:rPr>
          <w:szCs w:val="24"/>
          <w:lang w:eastAsia="ru-RU"/>
        </w:rPr>
        <w:t>материалов</w:t>
      </w:r>
    </w:p>
    <w:p w:rsidR="00BD7016" w:rsidRDefault="00BD7016" w:rsidP="00BD7016">
      <w:pPr>
        <w:ind w:firstLine="709"/>
        <w:jc w:val="both"/>
        <w:rPr>
          <w:szCs w:val="24"/>
          <w:lang w:eastAsia="ru-RU"/>
        </w:rPr>
      </w:pPr>
    </w:p>
    <w:p w:rsidR="00BD7016" w:rsidRDefault="00BD7016" w:rsidP="00BD7016">
      <w:pPr>
        <w:ind w:firstLine="709"/>
        <w:jc w:val="both"/>
        <w:rPr>
          <w:szCs w:val="24"/>
          <w:lang w:eastAsia="ru-RU"/>
        </w:rPr>
      </w:pPr>
      <w:r>
        <w:rPr>
          <w:szCs w:val="24"/>
          <w:lang w:eastAsia="ru-RU"/>
        </w:rPr>
        <w:t>По вопросам организационного характера обращаться:</w:t>
      </w:r>
    </w:p>
    <w:p w:rsidR="00BD7016" w:rsidRDefault="00BD7016" w:rsidP="00BD7016">
      <w:pPr>
        <w:ind w:firstLine="142"/>
        <w:jc w:val="both"/>
        <w:rPr>
          <w:szCs w:val="24"/>
          <w:lang w:eastAsia="ru-RU"/>
        </w:rPr>
      </w:pPr>
      <w:r>
        <w:rPr>
          <w:szCs w:val="24"/>
          <w:lang w:eastAsia="ru-RU"/>
        </w:rPr>
        <w:t>Шабалкина Ольга Евгеньевна, (4852)49-89-</w:t>
      </w:r>
      <w:proofErr w:type="gramStart"/>
      <w:r>
        <w:rPr>
          <w:szCs w:val="24"/>
          <w:lang w:eastAsia="ru-RU"/>
        </w:rPr>
        <w:t xml:space="preserve">86,   </w:t>
      </w:r>
      <w:proofErr w:type="gramEnd"/>
      <w:r>
        <w:rPr>
          <w:szCs w:val="24"/>
          <w:lang w:eastAsia="ru-RU"/>
        </w:rPr>
        <w:t xml:space="preserve"> </w:t>
      </w:r>
      <w:r>
        <w:rPr>
          <w:szCs w:val="24"/>
          <w:lang w:val="en-US" w:eastAsia="ru-RU"/>
        </w:rPr>
        <w:t>tender</w:t>
      </w:r>
      <w:r>
        <w:rPr>
          <w:szCs w:val="24"/>
          <w:lang w:eastAsia="ru-RU"/>
        </w:rPr>
        <w:t>@yanos.slavneft.ru</w:t>
      </w:r>
    </w:p>
    <w:p w:rsidR="00BD7016" w:rsidRDefault="00BD7016" w:rsidP="00BD7016">
      <w:pPr>
        <w:ind w:firstLine="708"/>
        <w:jc w:val="both"/>
        <w:rPr>
          <w:szCs w:val="24"/>
        </w:rPr>
      </w:pPr>
    </w:p>
    <w:p w:rsidR="00FE5135" w:rsidRDefault="00FE5135"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135" w:rsidRDefault="00FE5135" w:rsidP="00C72132">
      <w:pPr>
        <w:ind w:firstLine="720"/>
        <w:jc w:val="both"/>
      </w:pPr>
      <w:r w:rsidRPr="00455CB1">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FE5135" w:rsidRPr="00455CB1" w:rsidRDefault="00FE5135" w:rsidP="00FE5135">
      <w:pPr>
        <w:ind w:firstLine="708"/>
        <w:contextualSpacing/>
        <w:jc w:val="both"/>
      </w:pPr>
      <w:r w:rsidRPr="00455CB1">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E5135" w:rsidRPr="00455CB1" w:rsidRDefault="00FE5135" w:rsidP="00FE5135">
      <w:pPr>
        <w:contextualSpacing/>
        <w:jc w:val="both"/>
      </w:pPr>
      <w:r w:rsidRPr="00455CB1">
        <w:t>- не подана ни одна оферта (с учетом оферт, отозванных участниками закупки);</w:t>
      </w:r>
    </w:p>
    <w:p w:rsidR="00FE5135" w:rsidRPr="00455CB1" w:rsidRDefault="00FE5135" w:rsidP="00FE5135">
      <w:pPr>
        <w:contextualSpacing/>
        <w:jc w:val="both"/>
      </w:pPr>
      <w:r w:rsidRPr="00455CB1">
        <w:t>- ни одна оферта не соответствует требованиям к предмету оферты, установленным в настоящем предложении делать оферты;</w:t>
      </w:r>
    </w:p>
    <w:p w:rsidR="00FE5135" w:rsidRPr="00455CB1" w:rsidRDefault="00FE5135" w:rsidP="00FE5135">
      <w:pPr>
        <w:contextualSpacing/>
        <w:jc w:val="both"/>
      </w:pPr>
      <w:r w:rsidRPr="00455CB1">
        <w:t>- все поданные оферты отклонены.</w:t>
      </w:r>
    </w:p>
    <w:p w:rsidR="00FE5135" w:rsidRPr="00455CB1" w:rsidRDefault="00FE5135" w:rsidP="00FE5135">
      <w:pPr>
        <w:ind w:firstLine="708"/>
        <w:contextualSpacing/>
        <w:jc w:val="both"/>
      </w:pPr>
      <w:r w:rsidRPr="00455CB1">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w:t>
      </w:r>
      <w:r w:rsidR="00E62772">
        <w:t>ПАО</w:t>
      </w:r>
      <w:r w:rsidRPr="00455CB1">
        <w:t xml:space="preserve"> «</w:t>
      </w:r>
      <w:proofErr w:type="spellStart"/>
      <w:r w:rsidRPr="00455CB1">
        <w:t>Славнефть</w:t>
      </w:r>
      <w:proofErr w:type="spellEnd"/>
      <w:r w:rsidRPr="00455CB1">
        <w:t xml:space="preserve">-ЯНОС» неурегулированные претензии, предъявленные ему последним не позднее даты публикации ПДО (с приложениями) на интернет-сайте </w:t>
      </w:r>
      <w:r w:rsidR="00E62772">
        <w:t>ПАО</w:t>
      </w:r>
      <w:r w:rsidRPr="00455CB1">
        <w:t xml:space="preserve"> «</w:t>
      </w:r>
      <w:proofErr w:type="spellStart"/>
      <w:r w:rsidRPr="00455CB1">
        <w:t>Славнефть</w:t>
      </w:r>
      <w:proofErr w:type="spellEnd"/>
      <w:r w:rsidRPr="00455CB1">
        <w:t>-ЯНОС», Общество оставляет за собой право не признавать данного контрагента победителем тендера.</w:t>
      </w:r>
    </w:p>
    <w:p w:rsidR="00C72132" w:rsidRDefault="00FE5135" w:rsidP="00FE5135">
      <w:pPr>
        <w:ind w:firstLine="708"/>
        <w:jc w:val="both"/>
        <w:rPr>
          <w:szCs w:val="24"/>
        </w:rPr>
      </w:pPr>
      <w:r w:rsidRPr="00455CB1">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w:t>
      </w:r>
      <w:r w:rsidRPr="00455CB1">
        <w:lastRenderedPageBreak/>
        <w:t xml:space="preserve">настоящего предложения, должны пройти аккредитацию в соответствии с правилами, размещенными на </w:t>
      </w:r>
      <w:r w:rsidR="00C72132" w:rsidRPr="00BB45CB">
        <w:rPr>
          <w:szCs w:val="24"/>
        </w:rPr>
        <w:t xml:space="preserve">интернет-сайте Общества </w:t>
      </w:r>
      <w:hyperlink r:id="rId6" w:history="1">
        <w:r w:rsidR="00C72132" w:rsidRPr="00F7454D">
          <w:rPr>
            <w:rStyle w:val="a3"/>
            <w:szCs w:val="24"/>
          </w:rPr>
          <w:t>http://refinery.yaroslavl.ru/</w:t>
        </w:r>
      </w:hyperlink>
      <w:r w:rsidR="00C72132" w:rsidRPr="00BB45CB">
        <w:rPr>
          <w:szCs w:val="24"/>
        </w:rPr>
        <w:t>.</w:t>
      </w:r>
    </w:p>
    <w:p w:rsidR="00FE5135" w:rsidRPr="00455CB1" w:rsidRDefault="00FE5135" w:rsidP="00FE5135">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E5135" w:rsidRDefault="00FE5135" w:rsidP="00FE5135">
      <w:pPr>
        <w:ind w:firstLine="708"/>
        <w:jc w:val="both"/>
        <w:rPr>
          <w:rFonts w:eastAsia="Times New Roman"/>
          <w:color w:val="0000FF"/>
          <w:szCs w:val="24"/>
          <w:u w:val="single"/>
          <w:lang w:eastAsia="ru-RU"/>
        </w:rPr>
      </w:pPr>
      <w:r w:rsidRPr="00455CB1">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sidRPr="000A137A">
        <w:rPr>
          <w:rFonts w:eastAsia="Times New Roman"/>
          <w:szCs w:val="24"/>
          <w:u w:val="single"/>
          <w:lang w:eastAsia="ru-RU"/>
        </w:rPr>
        <w:t xml:space="preserve">: </w:t>
      </w:r>
      <w:hyperlink r:id="rId7" w:history="1">
        <w:r w:rsidRPr="000A137A">
          <w:rPr>
            <w:rFonts w:eastAsia="Times New Roman"/>
            <w:color w:val="0000FF"/>
            <w:szCs w:val="24"/>
            <w:u w:val="single"/>
            <w:lang w:eastAsia="ru-RU"/>
          </w:rPr>
          <w:t>http://www.refinery.yaroslavl.su/index.php?module=tend&amp;page=stop</w:t>
        </w:r>
      </w:hyperlink>
    </w:p>
    <w:p w:rsidR="00FE5135" w:rsidRPr="00455CB1" w:rsidRDefault="00FE5135" w:rsidP="00FE5135">
      <w:pPr>
        <w:ind w:firstLine="708"/>
        <w:contextualSpacing/>
        <w:jc w:val="both"/>
      </w:pPr>
      <w:r w:rsidRPr="00455CB1">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E5135" w:rsidRDefault="00FE5135" w:rsidP="00FE5135">
      <w:pPr>
        <w:ind w:firstLine="708"/>
        <w:jc w:val="both"/>
      </w:pPr>
      <w:r w:rsidRPr="00455CB1">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00E62772">
        <w:rPr>
          <w:rFonts w:eastAsia="Times New Roman"/>
          <w:sz w:val="23"/>
          <w:szCs w:val="23"/>
          <w:lang w:eastAsia="ru-RU"/>
        </w:rPr>
        <w:t>ПАО</w:t>
      </w:r>
      <w:r w:rsidRPr="00442F60">
        <w:rPr>
          <w:rFonts w:eastAsia="Times New Roman"/>
          <w:sz w:val="23"/>
          <w:szCs w:val="23"/>
          <w:lang w:eastAsia="ru-RU"/>
        </w:rPr>
        <w:t xml:space="preserve">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w:t>
      </w:r>
      <w:r w:rsidR="00E62772">
        <w:rPr>
          <w:rFonts w:eastAsia="Times New Roman"/>
          <w:sz w:val="23"/>
          <w:szCs w:val="23"/>
          <w:lang w:eastAsia="ru-RU"/>
        </w:rPr>
        <w:t>ПАО</w:t>
      </w:r>
      <w:r>
        <w:rPr>
          <w:rFonts w:eastAsia="Times New Roman"/>
          <w:sz w:val="23"/>
          <w:szCs w:val="23"/>
          <w:lang w:eastAsia="ru-RU"/>
        </w:rPr>
        <w:t xml:space="preserve">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Решения, принятые по результатам рассмотрения жалобы, доводятся до участника закупки в течение не более </w:t>
      </w:r>
      <w:r w:rsidR="00B146B1">
        <w:rPr>
          <w:rFonts w:eastAsia="Times New Roman"/>
          <w:szCs w:val="24"/>
          <w:lang w:eastAsia="ru-RU"/>
        </w:rPr>
        <w:t>30</w:t>
      </w:r>
      <w:r w:rsidRPr="000A137A">
        <w:rPr>
          <w:rFonts w:eastAsia="Times New Roman"/>
          <w:szCs w:val="24"/>
          <w:lang w:eastAsia="ru-RU"/>
        </w:rPr>
        <w:t xml:space="preserve"> (</w:t>
      </w:r>
      <w:r w:rsidR="00B146B1">
        <w:rPr>
          <w:rFonts w:eastAsia="Times New Roman"/>
          <w:szCs w:val="24"/>
          <w:lang w:eastAsia="ru-RU"/>
        </w:rPr>
        <w:t>тридцати</w:t>
      </w:r>
      <w:r w:rsidRPr="000A137A">
        <w:rPr>
          <w:rFonts w:eastAsia="Times New Roman"/>
          <w:szCs w:val="24"/>
          <w:lang w:eastAsia="ru-RU"/>
        </w:rPr>
        <w:t xml:space="preserve">) календарных дней со дня ее получения. </w:t>
      </w:r>
    </w:p>
    <w:p w:rsidR="00000F90" w:rsidRDefault="00C72132" w:rsidP="00C72132">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w:t>
      </w:r>
      <w:r w:rsidR="00E62772">
        <w:rPr>
          <w:rFonts w:eastAsia="Times New Roman"/>
          <w:szCs w:val="24"/>
          <w:lang w:eastAsia="ru-RU"/>
        </w:rPr>
        <w:t>ПАО</w:t>
      </w:r>
      <w:r w:rsidRPr="000A137A">
        <w:rPr>
          <w:rFonts w:eastAsia="Times New Roman"/>
          <w:szCs w:val="24"/>
          <w:lang w:eastAsia="ru-RU"/>
        </w:rPr>
        <w:t xml:space="preserve">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w:t>
      </w:r>
      <w:bookmarkStart w:id="0" w:name="_GoBack"/>
      <w:bookmarkEnd w:id="0"/>
    </w:p>
    <w:p w:rsidR="00C72132" w:rsidRPr="000A137A" w:rsidRDefault="00C72132" w:rsidP="00000F90">
      <w:pPr>
        <w:jc w:val="both"/>
        <w:rPr>
          <w:rFonts w:eastAsia="Times New Roman"/>
          <w:szCs w:val="24"/>
          <w:lang w:eastAsia="ru-RU"/>
        </w:rPr>
      </w:pPr>
      <w:r w:rsidRPr="000A137A">
        <w:rPr>
          <w:rFonts w:eastAsia="Times New Roman"/>
          <w:szCs w:val="24"/>
          <w:lang w:eastAsia="ru-RU"/>
        </w:rPr>
        <w:lastRenderedPageBreak/>
        <w:t xml:space="preserve">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B146B1">
        <w:rPr>
          <w:rFonts w:eastAsia="Times New Roman"/>
          <w:szCs w:val="24"/>
          <w:lang w:eastAsia="ru-RU"/>
        </w:rPr>
        <w:t>9</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 xml:space="preserve">1. </w:t>
      </w:r>
      <w:r w:rsidRPr="00B52476">
        <w:rPr>
          <w:szCs w:val="24"/>
        </w:rPr>
        <w:t>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Требования к предмету оферты</w:t>
      </w:r>
      <w:r w:rsidRPr="00BB45CB">
        <w:rPr>
          <w:szCs w:val="24"/>
        </w:rPr>
        <w:t xml:space="preserve"> на </w:t>
      </w:r>
      <w:r>
        <w:rPr>
          <w:szCs w:val="24"/>
        </w:rPr>
        <w:t>3</w:t>
      </w:r>
      <w:r w:rsidRPr="00BB45CB">
        <w:rPr>
          <w:szCs w:val="24"/>
        </w:rPr>
        <w:t xml:space="preserve"> л. в 1 экз.</w:t>
      </w:r>
    </w:p>
    <w:p w:rsidR="00C72132" w:rsidRPr="00B52476" w:rsidRDefault="00C72132" w:rsidP="00C72132">
      <w:pPr>
        <w:pStyle w:val="1"/>
        <w:spacing w:line="240" w:lineRule="auto"/>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Pr="00A30BEF">
        <w:rPr>
          <w:rFonts w:ascii="Times New Roman" w:eastAsiaTheme="minorHAnsi" w:hAnsi="Times New Roman"/>
          <w:b w:val="0"/>
          <w:bCs w:val="0"/>
          <w:sz w:val="24"/>
          <w:szCs w:val="24"/>
          <w:lang w:val="ru-RU" w:eastAsia="en-US"/>
        </w:rPr>
        <w:t xml:space="preserve"> </w:t>
      </w:r>
      <w:r w:rsidR="00B146B1">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B146B1" w:rsidRPr="00B146B1">
        <w:rPr>
          <w:rFonts w:ascii="Times New Roman" w:eastAsiaTheme="minorHAnsi" w:hAnsi="Times New Roman"/>
          <w:b w:val="0"/>
          <w:bCs w:val="0"/>
          <w:sz w:val="24"/>
          <w:szCs w:val="24"/>
          <w:lang w:val="ru-RU" w:eastAsia="en-US"/>
        </w:rPr>
        <w:t>Требования к предмету оферты</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D57D40">
        <w:rPr>
          <w:rFonts w:ascii="Times New Roman" w:eastAsiaTheme="minorHAnsi" w:hAnsi="Times New Roman"/>
          <w:b w:val="0"/>
          <w:bCs w:val="0"/>
          <w:sz w:val="24"/>
          <w:szCs w:val="24"/>
          <w:lang w:val="ru-RU" w:eastAsia="en-US"/>
        </w:rPr>
        <w:t>5</w:t>
      </w:r>
      <w:r w:rsidRPr="00B52476">
        <w:rPr>
          <w:rFonts w:ascii="Times New Roman" w:eastAsiaTheme="minorHAnsi" w:hAnsi="Times New Roman"/>
          <w:b w:val="0"/>
          <w:bCs w:val="0"/>
          <w:sz w:val="24"/>
          <w:szCs w:val="24"/>
          <w:lang w:val="ru-RU" w:eastAsia="en-US"/>
        </w:rPr>
        <w:t xml:space="preserve"> л. в 1 экз.</w:t>
      </w:r>
    </w:p>
    <w:p w:rsidR="00C72132" w:rsidRDefault="00C72132" w:rsidP="00C72132">
      <w:pPr>
        <w:rPr>
          <w:szCs w:val="24"/>
        </w:rPr>
      </w:pPr>
      <w:r>
        <w:rPr>
          <w:szCs w:val="24"/>
        </w:rPr>
        <w:t>4</w:t>
      </w:r>
      <w:r w:rsidRPr="00BB45CB">
        <w:rPr>
          <w:szCs w:val="24"/>
        </w:rPr>
        <w:t xml:space="preserve">. </w:t>
      </w:r>
      <w:r w:rsidR="00B146B1">
        <w:rPr>
          <w:szCs w:val="24"/>
        </w:rPr>
        <w:t xml:space="preserve">Форма 3 </w:t>
      </w:r>
      <w:r w:rsidRPr="00BB45CB">
        <w:rPr>
          <w:szCs w:val="24"/>
        </w:rPr>
        <w:t>Проект договора</w:t>
      </w:r>
      <w:r w:rsidR="00B146B1">
        <w:rPr>
          <w:szCs w:val="24"/>
        </w:rPr>
        <w:t xml:space="preserve"> </w:t>
      </w:r>
      <w:r w:rsidRPr="00BB45CB">
        <w:rPr>
          <w:szCs w:val="24"/>
        </w:rPr>
        <w:t xml:space="preserve">на </w:t>
      </w:r>
      <w:r w:rsidR="00B146B1">
        <w:rPr>
          <w:szCs w:val="24"/>
        </w:rPr>
        <w:t>14</w:t>
      </w:r>
      <w:r w:rsidRPr="00BB45CB">
        <w:rPr>
          <w:szCs w:val="24"/>
        </w:rPr>
        <w:t xml:space="preserve"> л. в 1 экз.</w:t>
      </w:r>
    </w:p>
    <w:p w:rsidR="00C72132" w:rsidRPr="00BB45CB" w:rsidRDefault="00C72132" w:rsidP="00C72132">
      <w:pPr>
        <w:rPr>
          <w:szCs w:val="24"/>
        </w:rPr>
      </w:pPr>
      <w:r>
        <w:rPr>
          <w:szCs w:val="24"/>
        </w:rPr>
        <w:t>5</w:t>
      </w:r>
      <w:r w:rsidRPr="00BB45CB">
        <w:rPr>
          <w:szCs w:val="24"/>
        </w:rPr>
        <w:t xml:space="preserve">. </w:t>
      </w:r>
      <w:r>
        <w:rPr>
          <w:szCs w:val="24"/>
        </w:rPr>
        <w:t xml:space="preserve">Форма 4 </w:t>
      </w:r>
      <w:r w:rsidR="00B146B1">
        <w:rPr>
          <w:szCs w:val="24"/>
        </w:rPr>
        <w:t>Безотзывная оферта.</w:t>
      </w:r>
    </w:p>
    <w:p w:rsidR="00C72132" w:rsidRDefault="00C72132" w:rsidP="00B146B1">
      <w:pPr>
        <w:rPr>
          <w:szCs w:val="24"/>
        </w:rPr>
      </w:pPr>
      <w:r>
        <w:rPr>
          <w:szCs w:val="24"/>
        </w:rPr>
        <w:t>6</w:t>
      </w:r>
      <w:r w:rsidRPr="00BB45CB">
        <w:rPr>
          <w:szCs w:val="24"/>
        </w:rPr>
        <w:t xml:space="preserve">. </w:t>
      </w:r>
      <w:r>
        <w:rPr>
          <w:szCs w:val="24"/>
        </w:rPr>
        <w:t xml:space="preserve">Форма </w:t>
      </w:r>
      <w:r w:rsidR="00B146B1">
        <w:rPr>
          <w:szCs w:val="24"/>
        </w:rPr>
        <w:t xml:space="preserve">5 </w:t>
      </w:r>
      <w:r w:rsidRPr="00BB45CB">
        <w:rPr>
          <w:szCs w:val="24"/>
        </w:rPr>
        <w:t>Перечень аффилированных организаций на 1 л. в 1 экз.</w:t>
      </w:r>
    </w:p>
    <w:p w:rsidR="00B146B1" w:rsidRDefault="00B146B1" w:rsidP="00B146B1">
      <w:pPr>
        <w:rPr>
          <w:szCs w:val="24"/>
        </w:rPr>
      </w:pPr>
      <w:r>
        <w:rPr>
          <w:szCs w:val="24"/>
        </w:rPr>
        <w:t>7. Формы 6,7</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B146B1" w:rsidRDefault="00B146B1" w:rsidP="00B146B1">
      <w:pPr>
        <w:autoSpaceDE w:val="0"/>
        <w:autoSpaceDN w:val="0"/>
        <w:adjustRightInd w:val="0"/>
        <w:contextualSpacing/>
        <w:jc w:val="both"/>
      </w:pPr>
      <w:r w:rsidRPr="00455CB1">
        <w:t>Руководитель Ответственного подразделения</w:t>
      </w:r>
    </w:p>
    <w:p w:rsidR="00B146B1" w:rsidRPr="00455CB1" w:rsidRDefault="00B146B1" w:rsidP="00B146B1">
      <w:pPr>
        <w:autoSpaceDE w:val="0"/>
        <w:autoSpaceDN w:val="0"/>
        <w:adjustRightInd w:val="0"/>
        <w:contextualSpacing/>
        <w:jc w:val="both"/>
      </w:pPr>
    </w:p>
    <w:tbl>
      <w:tblPr>
        <w:tblW w:w="8911" w:type="dxa"/>
        <w:tblInd w:w="108" w:type="dxa"/>
        <w:tblLook w:val="04A0" w:firstRow="1" w:lastRow="0" w:firstColumn="1" w:lastColumn="0" w:noHBand="0" w:noVBand="1"/>
      </w:tblPr>
      <w:tblGrid>
        <w:gridCol w:w="2822"/>
        <w:gridCol w:w="236"/>
        <w:gridCol w:w="1172"/>
        <w:gridCol w:w="236"/>
        <w:gridCol w:w="1708"/>
        <w:gridCol w:w="236"/>
        <w:gridCol w:w="2501"/>
      </w:tblGrid>
      <w:tr w:rsidR="00B146B1" w:rsidRPr="00455CB1" w:rsidTr="00B146B1">
        <w:trPr>
          <w:trHeight w:val="435"/>
        </w:trPr>
        <w:tc>
          <w:tcPr>
            <w:tcW w:w="2869"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t>Директор по снабжению</w:t>
            </w: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182"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60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roofErr w:type="spellStart"/>
            <w:r>
              <w:t>Д.Ю.Уржумов</w:t>
            </w:r>
            <w:proofErr w:type="spellEnd"/>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254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rsidRPr="00455CB1">
              <w:rPr>
                <w:i/>
                <w:iCs/>
              </w:rPr>
              <w:t>«     »</w:t>
            </w:r>
            <w:r w:rsidRPr="00455CB1">
              <w:rPr>
                <w:i/>
                <w:iCs/>
              </w:rPr>
              <w:tab/>
            </w:r>
            <w:r w:rsidRPr="00455CB1">
              <w:rPr>
                <w:i/>
                <w:iCs/>
              </w:rPr>
              <w:tab/>
            </w:r>
            <w:r w:rsidRPr="00455CB1">
              <w:rPr>
                <w:i/>
                <w:iCs/>
              </w:rPr>
              <w:tab/>
              <w:t>г.</w:t>
            </w:r>
          </w:p>
        </w:tc>
      </w:tr>
      <w:tr w:rsidR="00B146B1" w:rsidRPr="00455CB1" w:rsidTr="00B146B1">
        <w:tc>
          <w:tcPr>
            <w:tcW w:w="2869" w:type="dxa"/>
            <w:tcBorders>
              <w:top w:val="single" w:sz="4" w:space="0" w:color="auto"/>
            </w:tcBorders>
            <w:shd w:val="clear" w:color="auto" w:fill="auto"/>
          </w:tcPr>
          <w:p w:rsidR="00B146B1" w:rsidRPr="00455CB1" w:rsidRDefault="00B146B1" w:rsidP="00A57F24">
            <w:pPr>
              <w:jc w:val="center"/>
              <w:rPr>
                <w:b/>
                <w:bCs/>
                <w:sz w:val="20"/>
                <w:szCs w:val="20"/>
              </w:rPr>
            </w:pPr>
            <w:r w:rsidRPr="00455CB1">
              <w:rPr>
                <w:bCs/>
                <w:i/>
                <w:iCs/>
                <w:sz w:val="16"/>
                <w:szCs w:val="16"/>
              </w:rPr>
              <w:t>(должность)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182"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(подпись)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606"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w:t>
            </w:r>
            <w:proofErr w:type="spellStart"/>
            <w:r w:rsidRPr="00455CB1">
              <w:rPr>
                <w:i/>
                <w:iCs/>
                <w:sz w:val="16"/>
                <w:szCs w:val="16"/>
              </w:rPr>
              <w:t>ф.и.о.</w:t>
            </w:r>
            <w:proofErr w:type="spellEnd"/>
            <w:r w:rsidRPr="00455CB1">
              <w:rPr>
                <w:i/>
                <w:iCs/>
                <w:sz w:val="16"/>
                <w:szCs w:val="16"/>
              </w:rPr>
              <w:t>)</w:t>
            </w:r>
          </w:p>
        </w:tc>
        <w:tc>
          <w:tcPr>
            <w:tcW w:w="236" w:type="dxa"/>
            <w:shd w:val="clear" w:color="auto" w:fill="auto"/>
          </w:tcPr>
          <w:p w:rsidR="00B146B1" w:rsidRPr="00455CB1" w:rsidRDefault="00B146B1" w:rsidP="00A57F24">
            <w:pPr>
              <w:widowControl w:val="0"/>
              <w:autoSpaceDE w:val="0"/>
              <w:autoSpaceDN w:val="0"/>
              <w:adjustRightInd w:val="0"/>
              <w:jc w:val="center"/>
              <w:rPr>
                <w:sz w:val="20"/>
                <w:szCs w:val="20"/>
              </w:rPr>
            </w:pPr>
          </w:p>
        </w:tc>
        <w:tc>
          <w:tcPr>
            <w:tcW w:w="2546" w:type="dxa"/>
            <w:tcBorders>
              <w:top w:val="single" w:sz="4" w:space="0" w:color="auto"/>
            </w:tcBorders>
            <w:shd w:val="clear" w:color="auto" w:fill="auto"/>
          </w:tcPr>
          <w:p w:rsidR="00B146B1" w:rsidRPr="00455CB1" w:rsidRDefault="00B146B1" w:rsidP="00A57F24">
            <w:pPr>
              <w:autoSpaceDE w:val="0"/>
              <w:autoSpaceDN w:val="0"/>
              <w:adjustRightInd w:val="0"/>
              <w:jc w:val="center"/>
              <w:rPr>
                <w:sz w:val="20"/>
                <w:szCs w:val="20"/>
              </w:rPr>
            </w:pPr>
            <w:r w:rsidRPr="00455CB1">
              <w:rPr>
                <w:i/>
                <w:iCs/>
                <w:sz w:val="16"/>
                <w:szCs w:val="16"/>
              </w:rPr>
              <w:t>(дата)</w:t>
            </w:r>
          </w:p>
        </w:tc>
      </w:tr>
    </w:tbl>
    <w:p w:rsidR="00C21FA1" w:rsidRDefault="00000F90" w:rsidP="00B146B1"/>
    <w:sectPr w:rsidR="00C21FA1" w:rsidSect="00000F90">
      <w:pgSz w:w="11906" w:h="16838"/>
      <w:pgMar w:top="993" w:right="849"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132"/>
    <w:rsid w:val="00000F90"/>
    <w:rsid w:val="000266B1"/>
    <w:rsid w:val="0007509F"/>
    <w:rsid w:val="000E23E8"/>
    <w:rsid w:val="000E74E3"/>
    <w:rsid w:val="00152B97"/>
    <w:rsid w:val="0034728F"/>
    <w:rsid w:val="00387E6B"/>
    <w:rsid w:val="003F3A32"/>
    <w:rsid w:val="00425F3C"/>
    <w:rsid w:val="00474BEC"/>
    <w:rsid w:val="004A03AD"/>
    <w:rsid w:val="004B5D2D"/>
    <w:rsid w:val="00594C62"/>
    <w:rsid w:val="005B74DE"/>
    <w:rsid w:val="006E1A32"/>
    <w:rsid w:val="00700649"/>
    <w:rsid w:val="00791E9A"/>
    <w:rsid w:val="00834D22"/>
    <w:rsid w:val="009F7CC7"/>
    <w:rsid w:val="00A1250B"/>
    <w:rsid w:val="00A2342F"/>
    <w:rsid w:val="00A54A75"/>
    <w:rsid w:val="00A84D24"/>
    <w:rsid w:val="00AC3B4B"/>
    <w:rsid w:val="00B146B1"/>
    <w:rsid w:val="00BD7016"/>
    <w:rsid w:val="00BE5290"/>
    <w:rsid w:val="00C400BF"/>
    <w:rsid w:val="00C660EB"/>
    <w:rsid w:val="00C72132"/>
    <w:rsid w:val="00CE4D5D"/>
    <w:rsid w:val="00D45D11"/>
    <w:rsid w:val="00D57D40"/>
    <w:rsid w:val="00E0081B"/>
    <w:rsid w:val="00E62772"/>
    <w:rsid w:val="00F164A0"/>
    <w:rsid w:val="00FE5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454CA"/>
  <w15:docId w15:val="{BE615D41-88F1-43B1-B120-4EC5320B5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13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efinery.yaroslav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28900-EE11-4157-8EF4-CD1F6CC1B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6</Pages>
  <Words>2831</Words>
  <Characters>16137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EfremenkoTV</dc:creator>
  <cp:lastModifiedBy>shabalkinaoe</cp:lastModifiedBy>
  <cp:revision>10</cp:revision>
  <cp:lastPrinted>2019-01-16T07:50:00Z</cp:lastPrinted>
  <dcterms:created xsi:type="dcterms:W3CDTF">2019-07-12T12:20:00Z</dcterms:created>
  <dcterms:modified xsi:type="dcterms:W3CDTF">2019-08-08T14:00:00Z</dcterms:modified>
</cp:coreProperties>
</file>